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0741" w14:textId="77777777" w:rsidR="00C57C2E" w:rsidRDefault="001F4293" w:rsidP="00C57C2E">
      <w:pPr>
        <w:pStyle w:val="Normalutanindragellerluft"/>
      </w:pPr>
      <w:bookmarkStart w:id="0" w:name="_GoBack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156AACA84EF4C0F8B2ABF419B81FC1D"/>
        </w:placeholder>
        <w15:appearance w15:val="hidden"/>
        <w:text/>
      </w:sdtPr>
      <w:sdtEndPr/>
      <w:sdtContent>
        <w:p w14:paraId="695E3C00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C2BCFAED9168437288C7C6E4D969197C"/>
        </w:placeholder>
      </w:sdtPr>
      <w:sdtEndPr>
        <w:rPr>
          <w:rStyle w:val="FrslagstextChar"/>
        </w:rPr>
      </w:sdtEndPr>
      <w:sdtContent>
        <w:p w14:paraId="5F30C1B6" w14:textId="77777777" w:rsidR="007C780D" w:rsidRPr="00433667" w:rsidRDefault="00204A4B" w:rsidP="00DD3400">
          <w:pPr>
            <w:pStyle w:val="Frslagstext"/>
            <w:numPr>
              <w:ilvl w:val="0"/>
              <w:numId w:val="0"/>
            </w:numPr>
          </w:pPr>
          <w:r w:rsidRPr="00433667">
            <w:rPr>
              <w:rStyle w:val="FrslagstextChar"/>
            </w:rPr>
            <w:t>Riksdagen ställer sig bakom det som anförs i motionen om att se över hur övergrepp i rättssak effektivare kan bekämpas och tillkännager detta för regeringen.</w:t>
          </w:r>
        </w:p>
      </w:sdtContent>
    </w:sdt>
    <w:p w14:paraId="6C844AAA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2A315D03" w14:textId="77777777" w:rsidR="00204A4B" w:rsidRDefault="00204A4B" w:rsidP="00204A4B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14:paraId="42C9FC4E" w14:textId="77777777" w:rsidR="00AF30DD" w:rsidRDefault="00204A4B" w:rsidP="00204A4B">
      <w:r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2EB1C9909C4DBC98438F8044F95768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E52326" w14:paraId="4E3291D8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50C22B05" w14:textId="77777777" w:rsidR="00E52326" w:rsidRDefault="00E52326" w:rsidP="00DD3400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43F94E03" w14:textId="77777777" w:rsidR="00E52326" w:rsidRDefault="00E52326" w:rsidP="00DD3400">
                <w:pPr>
                  <w:ind w:firstLine="0"/>
                </w:pPr>
              </w:p>
            </w:tc>
          </w:tr>
        </w:tbl>
        <w:p w14:paraId="20033FCF" w14:textId="0511F39F" w:rsidR="00865E70" w:rsidRPr="00ED19F0" w:rsidRDefault="00E52326" w:rsidP="00DD3400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905A" w14:textId="77777777" w:rsidR="00A5349E" w:rsidRDefault="00A5349E" w:rsidP="000C1CAD">
      <w:pPr>
        <w:spacing w:line="240" w:lineRule="auto"/>
      </w:pPr>
      <w:r>
        <w:separator/>
      </w:r>
    </w:p>
  </w:endnote>
  <w:endnote w:type="continuationSeparator" w:id="0">
    <w:p w14:paraId="2D985E10" w14:textId="77777777" w:rsidR="00A5349E" w:rsidRDefault="00A534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8EC3" w14:textId="77777777" w:rsidR="00433667" w:rsidRDefault="0043366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E15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EB3C" w14:textId="77777777" w:rsidR="002A705A" w:rsidRDefault="002A705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201509230942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201509230942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2015-09-23 09:42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2015-09-23 09:42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0C8DF" w14:textId="77777777" w:rsidR="00A5349E" w:rsidRDefault="00A5349E" w:rsidP="000C1CAD">
      <w:pPr>
        <w:spacing w:line="240" w:lineRule="auto"/>
      </w:pPr>
      <w:r>
        <w:separator/>
      </w:r>
    </w:p>
  </w:footnote>
  <w:footnote w:type="continuationSeparator" w:id="0">
    <w:p w14:paraId="038EA198" w14:textId="77777777" w:rsidR="00A5349E" w:rsidRDefault="00A534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C28EE" w14:textId="77777777" w:rsidR="00433667" w:rsidRDefault="0043366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C67D0" w14:textId="77777777" w:rsidR="00433667" w:rsidRDefault="0043366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0810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13CE3657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690769FD" w14:textId="77777777" w:rsidR="00A42228" w:rsidRDefault="002A705A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204A4B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5C7A0C90" w14:textId="77777777" w:rsidR="00A42228" w:rsidRDefault="002A705A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204A4B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140E19A" w14:textId="77777777" w:rsidR="00A42228" w:rsidRDefault="00204A4B" w:rsidP="00283E0F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411BC35C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04A4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4A4B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05A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667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2B20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6E05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349E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3400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2326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D38B0"/>
  <w15:chartTrackingRefBased/>
  <w15:docId w15:val="{C09FCEBE-FD0A-4AE5-BE46-AB3C6C3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56AACA84EF4C0F8B2ABF419B81F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AFC70-504B-4A93-9293-592BD6753DD7}"/>
      </w:docPartPr>
      <w:docPartBody>
        <w:p w:rsidR="009F70BE" w:rsidRDefault="00115361">
          <w:pPr>
            <w:pStyle w:val="B156AACA84EF4C0F8B2ABF419B81FC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BCFAED9168437288C7C6E4D9691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F694A-BE53-4488-A326-525A84D77570}"/>
      </w:docPartPr>
      <w:docPartBody>
        <w:p w:rsidR="009F70BE" w:rsidRDefault="00115361">
          <w:pPr>
            <w:pStyle w:val="C2BCFAED9168437288C7C6E4D969197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42EB1C9909C4DBC98438F8044F95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D1F41-EE0F-4074-99FC-CFF0C475C723}"/>
      </w:docPartPr>
      <w:docPartBody>
        <w:p w:rsidR="009F70BE" w:rsidRDefault="00115361">
          <w:pPr>
            <w:pStyle w:val="142EB1C9909C4DBC98438F8044F9576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61"/>
    <w:rsid w:val="00115361"/>
    <w:rsid w:val="009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56AACA84EF4C0F8B2ABF419B81FC1D">
    <w:name w:val="B156AACA84EF4C0F8B2ABF419B81FC1D"/>
  </w:style>
  <w:style w:type="paragraph" w:customStyle="1" w:styleId="C2BCFAED9168437288C7C6E4D969197C">
    <w:name w:val="C2BCFAED9168437288C7C6E4D969197C"/>
  </w:style>
  <w:style w:type="paragraph" w:customStyle="1" w:styleId="142EB1C9909C4DBC98438F8044F95768">
    <w:name w:val="142EB1C9909C4DBC98438F8044F95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Skärpta åtgärder mot övergrepp i rättssak</rubrik>
    <utgiftsomrade>för framtida bruk</utgiftsomrade>
    <riksmote xmlns="http://schemas.riksdagen.se/motion">2015/16</riksmote>
    <partikod xmlns="http://schemas.riksdagen.se/motion">M</partikod>
    <partinummer xmlns="http://schemas.riksdagen.se/motion">1076</partinummer>
    <underskriftsdatum>Stockholm den</underskriftsdatum>
    <kontaktperson>
      <namn/>
      <email xmlns="http://schemas.riksdagen.se/motion">christine.hanefalk@riksdagen.se</email>
    </kontaktperson>
    <checksumma>*TA962C2B36148*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w:rsidR="00E52326"&gt;&lt;w:tblPrEx&gt;&lt;w:tblCellMar&gt;&lt;w:top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w:rsidR="00E52326" w:rsidRDefault="00E52326" w:rsidP="00DD3400"&gt;&lt;w:pPr&gt;&lt;w:ind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w:rsidR="00E52326" w:rsidRDefault="00E52326" w:rsidP="00DD3400"&gt;&lt;w:pPr&gt;&lt;w:ind w:firstLine="0"/&gt;&lt;/w:pPr&gt;&lt;/w:p&gt;&lt;/w:tc&gt;&lt;/w:tr&gt;&lt;/w:tbl&gt;&lt;w:p w:rsidR="00865E70" w:rsidRPr="00ED19F0" w:rsidRDefault="00E52326" w:rsidP="00DD3400"&gt;&lt;w:pPr&gt;&lt;w:pStyle w:val="Normalutanindragellerluft"/&gt;&lt;/w:pPr&gt;&lt;w:r&gt;&lt;w:rPr&gt;&lt;w:i/&gt;&lt;/w:rPr&gt;&lt;w:t&gt;.&lt;/w:t&gt;&lt;/w:r&gt;&lt;/w:p&gt;&lt;w:p w:rsidR="00000000" w:rsidRDefault="008D69E2"/&gt;&lt;w:sectPr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row="1"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väcka&amp;#92;1076 Skärpta åtgärder mot övergrepp i rättssak.docx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0598F-9C8B-402D-BD5A-5733FBC4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90</Words>
  <Characters>515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201516M1076 Skärpta åtgärder mot övergrepp i rättssak</vt:lpstr>
      <vt:lpstr/>
    </vt:vector>
  </TitlesOfParts>
  <Company>Sveriges riksdag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201516M1076 Skärpta åtgärder mot övergrepp i rättssak</dc:title>
  <dc:subject/>
  <dc:creator>Christine Hanefalk</dc:creator>
  <cp:keywords/>
  <dc:description/>
  <cp:lastModifiedBy>Christine Hanefalk</cp:lastModifiedBy>
  <cp:revision>5</cp:revision>
  <cp:lastPrinted>2015-09-23T07:42:00Z</cp:lastPrinted>
  <dcterms:created xsi:type="dcterms:W3CDTF">2015-09-23T07:42:00Z</dcterms:created>
  <dcterms:modified xsi:type="dcterms:W3CDTF">2015-09-23T07:42:00Z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*TA962C2B36148*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